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3769C" w:rsidRDefault="005A0964" w:rsidP="0063769C">
      <w:pPr>
        <w:jc w:val="both"/>
        <w:rPr>
          <w:lang w:val="sr-Cyrl-CS"/>
        </w:rPr>
      </w:pPr>
      <w:r>
        <w:rPr>
          <w:lang w:val="sr-Cyrl-CS"/>
        </w:rPr>
        <w:t>07 Број: 02-784/13</w:t>
      </w:r>
    </w:p>
    <w:p w:rsidR="0063769C" w:rsidRPr="00603907" w:rsidRDefault="005A0964" w:rsidP="0063769C">
      <w:pPr>
        <w:jc w:val="both"/>
        <w:rPr>
          <w:lang w:val="sr-Cyrl-CS"/>
        </w:rPr>
      </w:pPr>
      <w:r>
        <w:rPr>
          <w:lang w:val="sr-Cyrl-CS"/>
        </w:rPr>
        <w:t>21</w:t>
      </w:r>
      <w:r w:rsidR="0063769C" w:rsidRPr="00603907">
        <w:rPr>
          <w:lang w:val="sr-Cyrl-CS"/>
        </w:rPr>
        <w:t xml:space="preserve">. </w:t>
      </w:r>
      <w:r>
        <w:rPr>
          <w:lang w:val="sr-Cyrl-CS"/>
        </w:rPr>
        <w:t>март 2013</w:t>
      </w:r>
      <w:r w:rsidR="0063769C" w:rsidRPr="00603907">
        <w:rPr>
          <w:lang w:val="sr-Cyrl-CS"/>
        </w:rPr>
        <w:t>. године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5A0964" w:rsidRDefault="005A0964" w:rsidP="0063769C">
      <w:pPr>
        <w:jc w:val="both"/>
        <w:rPr>
          <w:lang w:val="sr-Cyrl-CS"/>
        </w:rPr>
      </w:pPr>
    </w:p>
    <w:p w:rsidR="005A0964" w:rsidRDefault="005A0964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</w:t>
      </w:r>
      <w:r w:rsidR="005A0964">
        <w:rPr>
          <w:lang w:val="sr-Cyrl-CS"/>
        </w:rPr>
        <w:t>праву и локалну самоуправу, на 2</w:t>
      </w:r>
      <w:r>
        <w:rPr>
          <w:lang w:val="sr-Cyrl-CS"/>
        </w:rPr>
        <w:t>2. сед</w:t>
      </w:r>
      <w:r w:rsidR="005A0964">
        <w:rPr>
          <w:lang w:val="sr-Cyrl-CS"/>
        </w:rPr>
        <w:t>ници одржаној  21. марта 2013</w:t>
      </w:r>
      <w:r>
        <w:rPr>
          <w:lang w:val="sr-Cyrl-CS"/>
        </w:rPr>
        <w:t xml:space="preserve">. године, разматрао је Извештај о раду </w:t>
      </w:r>
      <w:r w:rsidR="005A0964">
        <w:rPr>
          <w:lang w:val="sr-Cyrl-CS"/>
        </w:rPr>
        <w:t>Државног већа тужилаца за 2012. годину</w:t>
      </w:r>
      <w:r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Седници Одбор</w:t>
      </w:r>
      <w:r w:rsidR="00766662">
        <w:t>a</w:t>
      </w:r>
      <w:r>
        <w:t xml:space="preserve"> </w:t>
      </w:r>
      <w:r w:rsidR="007A425F">
        <w:rPr>
          <w:lang w:val="sr-Cyrl-CS"/>
        </w:rPr>
        <w:t>присуствовали су Бранислав Стаменковић и Мајда Ракић, чланови</w:t>
      </w:r>
      <w:r w:rsidR="005A0964">
        <w:rPr>
          <w:lang w:val="sr-Cyrl-CS"/>
        </w:rPr>
        <w:t xml:space="preserve"> Државног већа тужилаца.</w:t>
      </w:r>
      <w:r w:rsidRPr="00603907">
        <w:rPr>
          <w:lang w:val="sr-Cyrl-CS"/>
        </w:rPr>
        <w:t xml:space="preserve"> 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 (Пречишћени текст),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</w:t>
      </w:r>
      <w:r w:rsidR="002571C8" w:rsidRPr="002571C8">
        <w:rPr>
          <w:lang w:val="sr-Cyrl-CS"/>
        </w:rPr>
        <w:t xml:space="preserve"> </w:t>
      </w:r>
      <w:r w:rsidR="002571C8">
        <w:rPr>
          <w:lang w:val="sr-Cyrl-CS"/>
        </w:rPr>
        <w:t xml:space="preserve">раду Државног већа тужилаца за 2012. годину, </w:t>
      </w:r>
      <w:r>
        <w:rPr>
          <w:lang w:val="sr-Cyrl-CS"/>
        </w:rPr>
        <w:t xml:space="preserve">који је </w:t>
      </w:r>
      <w:r w:rsidR="002571C8">
        <w:rPr>
          <w:lang w:val="sr-Cyrl-CS"/>
        </w:rPr>
        <w:t>поднет Народној скупштини на основу члана 1</w:t>
      </w:r>
      <w:r>
        <w:rPr>
          <w:lang w:val="sr-Cyrl-CS"/>
        </w:rPr>
        <w:t xml:space="preserve">9. став </w:t>
      </w:r>
      <w:r w:rsidR="002571C8">
        <w:rPr>
          <w:lang w:val="sr-Cyrl-CS"/>
        </w:rPr>
        <w:t>1</w:t>
      </w:r>
      <w:r>
        <w:rPr>
          <w:lang w:val="sr-Cyrl-CS"/>
        </w:rPr>
        <w:t>. Закона о</w:t>
      </w:r>
      <w:r w:rsidR="002571C8">
        <w:rPr>
          <w:lang w:val="sr-Cyrl-CS"/>
        </w:rPr>
        <w:t xml:space="preserve"> Државном већу тужилаца</w:t>
      </w:r>
      <w:r>
        <w:rPr>
          <w:lang w:val="sr-Cyrl-CS"/>
        </w:rPr>
        <w:t>, и утврдио Предлог закључка који доставља Народној скупштини на разматрање и усвајање.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П Р Е Д Л О Г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63769C" w:rsidRPr="0063769C" w:rsidRDefault="0063769C" w:rsidP="0063769C">
      <w:pPr>
        <w:ind w:firstLine="720"/>
        <w:jc w:val="both"/>
        <w:rPr>
          <w:color w:val="00B050"/>
          <w:lang w:val="sr-Cyrl-CS"/>
        </w:rPr>
      </w:pPr>
      <w:r>
        <w:rPr>
          <w:lang w:val="sr-Cyrl-CS"/>
        </w:rPr>
        <w:t xml:space="preserve">  На основу члана 8. став 1. Закона о Народној скупштини („Службени гласник“, број 9/10) и члана </w:t>
      </w:r>
      <w:r w:rsidRPr="006858A4">
        <w:rPr>
          <w:lang w:val="sr-Cyrl-CS"/>
        </w:rPr>
        <w:t>239.</w:t>
      </w:r>
      <w:r>
        <w:rPr>
          <w:lang w:val="sr-Cyrl-CS"/>
        </w:rPr>
        <w:t xml:space="preserve"> став 3. Пословника Народне скупштине (Пречишћени текст - 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20/12),</w:t>
      </w:r>
    </w:p>
    <w:p w:rsidR="0063769C" w:rsidRDefault="0063769C" w:rsidP="006376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Народна скупштина, на ____ одржаној ___________  године, донела је</w:t>
      </w:r>
    </w:p>
    <w:p w:rsidR="00C32C9F" w:rsidRDefault="00C32C9F" w:rsidP="0063769C">
      <w:pPr>
        <w:ind w:firstLine="720"/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Pr="0074355C" w:rsidRDefault="0063769C" w:rsidP="0063769C">
      <w:pPr>
        <w:jc w:val="center"/>
      </w:pPr>
      <w:r>
        <w:rPr>
          <w:lang w:val="sr-Cyrl-CS"/>
        </w:rPr>
        <w:t xml:space="preserve">З А К Љ У Ч </w:t>
      </w:r>
      <w:r>
        <w:t>A K</w:t>
      </w:r>
    </w:p>
    <w:p w:rsidR="0063769C" w:rsidRDefault="0063769C" w:rsidP="0063769C">
      <w:pPr>
        <w:jc w:val="center"/>
        <w:rPr>
          <w:lang w:val="sr-Cyrl-CS"/>
        </w:rPr>
      </w:pPr>
      <w:r>
        <w:rPr>
          <w:lang w:val="sr-Cyrl-CS"/>
        </w:rPr>
        <w:t xml:space="preserve">о Извештају о раду Државног већа тужилаца за 2012. </w:t>
      </w:r>
      <w:r w:rsidR="001F3AB8">
        <w:rPr>
          <w:lang w:val="sr-Cyrl-CS"/>
        </w:rPr>
        <w:t>г</w:t>
      </w:r>
      <w:r>
        <w:rPr>
          <w:lang w:val="sr-Cyrl-CS"/>
        </w:rPr>
        <w:t>одину</w:t>
      </w:r>
    </w:p>
    <w:p w:rsidR="00C32C9F" w:rsidRDefault="00C32C9F" w:rsidP="0063769C">
      <w:pPr>
        <w:jc w:val="center"/>
        <w:rPr>
          <w:lang w:val="sr-Cyrl-CS"/>
        </w:rPr>
      </w:pPr>
    </w:p>
    <w:p w:rsidR="0063769C" w:rsidRPr="001B3B69" w:rsidRDefault="0063769C" w:rsidP="0063769C">
      <w:pPr>
        <w:jc w:val="both"/>
        <w:rPr>
          <w:lang w:val="sr-Cyrl-CS"/>
        </w:rPr>
      </w:pPr>
    </w:p>
    <w:p w:rsidR="001F3AB8" w:rsidRPr="001B3B69" w:rsidRDefault="001F3AB8" w:rsidP="001F3AB8">
      <w:pPr>
        <w:ind w:firstLine="720"/>
        <w:jc w:val="both"/>
        <w:rPr>
          <w:lang w:val="sr-Cyrl-CS"/>
        </w:rPr>
      </w:pPr>
      <w:r w:rsidRPr="001B3B69">
        <w:rPr>
          <w:lang w:val="sr-Cyrl-CS"/>
        </w:rPr>
        <w:t>1</w:t>
      </w:r>
      <w:r w:rsidR="00FF2CF4" w:rsidRPr="001B3B69">
        <w:rPr>
          <w:lang w:val="sr-Cyrl-CS"/>
        </w:rPr>
        <w:t>.</w:t>
      </w:r>
      <w:r w:rsidRPr="001B3B69">
        <w:rPr>
          <w:lang w:val="sr-Cyrl-CS"/>
        </w:rPr>
        <w:t xml:space="preserve"> Народна скупштина констатује да је Државно веће тужилаца у Извештају о раду за 2012. годину целов</w:t>
      </w:r>
      <w:r w:rsidR="002A277B">
        <w:rPr>
          <w:lang w:val="sr-Cyrl-CS"/>
        </w:rPr>
        <w:t>ито представило активности Већа</w:t>
      </w:r>
      <w:r w:rsidR="002A277B">
        <w:t>,</w:t>
      </w:r>
      <w:r w:rsidRPr="001B3B69">
        <w:rPr>
          <w:lang w:val="sr-Cyrl-CS"/>
        </w:rPr>
        <w:t xml:space="preserve">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  </w:t>
      </w:r>
    </w:p>
    <w:p w:rsidR="00190A78" w:rsidRPr="001F3AB8" w:rsidRDefault="000545F9" w:rsidP="001F3AB8">
      <w:pPr>
        <w:ind w:firstLine="720"/>
        <w:jc w:val="both"/>
        <w:rPr>
          <w:lang w:val="sr-Cyrl-CS"/>
        </w:rPr>
      </w:pPr>
      <w:r>
        <w:rPr>
          <w:lang w:val="sr-Cyrl-CS"/>
        </w:rPr>
        <w:t>2</w:t>
      </w:r>
      <w:r w:rsidR="001F3AB8">
        <w:rPr>
          <w:lang w:val="sr-Cyrl-CS"/>
        </w:rPr>
        <w:t>.</w:t>
      </w:r>
      <w:r>
        <w:rPr>
          <w:lang w:val="sr-Cyrl-CS"/>
        </w:rPr>
        <w:t xml:space="preserve"> </w:t>
      </w:r>
      <w:r w:rsidR="00CE6D39" w:rsidRPr="001F3AB8">
        <w:rPr>
          <w:lang w:val="sr-Cyrl-CS"/>
        </w:rPr>
        <w:t>Народна скупштина оцењује да</w:t>
      </w:r>
      <w:r w:rsidR="00CE6D39" w:rsidRPr="001F3AB8">
        <w:rPr>
          <w:lang w:val="sr-Latn-CS"/>
        </w:rPr>
        <w:t xml:space="preserve"> </w:t>
      </w:r>
      <w:r w:rsidR="00CE6D39" w:rsidRPr="001F3AB8">
        <w:rPr>
          <w:lang w:val="sr-Cyrl-CS"/>
        </w:rPr>
        <w:t>су активн</w:t>
      </w:r>
      <w:r w:rsidR="00CE6D39" w:rsidRPr="00767CF4">
        <w:t>o</w:t>
      </w:r>
      <w:r w:rsidR="00CE6D39" w:rsidRPr="001F3AB8">
        <w:rPr>
          <w:lang w:val="sr-Cyrl-CS"/>
        </w:rPr>
        <w:t xml:space="preserve">сти Државног већа тужилаца на реформисању јавног тужилаштва и афирмацији нових института кривичног законодавства, </w:t>
      </w:r>
      <w:r w:rsidR="00CE6D39" w:rsidRPr="001F3AB8">
        <w:rPr>
          <w:color w:val="00B050"/>
          <w:lang w:val="sr-Cyrl-CS"/>
        </w:rPr>
        <w:t xml:space="preserve"> </w:t>
      </w:r>
      <w:r w:rsidR="00CE6D39" w:rsidRPr="001F3AB8">
        <w:rPr>
          <w:lang w:val="sr-Cyrl-CS"/>
        </w:rPr>
        <w:t>у оквиру укупне реформе правосудног система, предуслов за стварање независног, одговорног  и ефикасног правосудног сиситема, за успостављање владавине права и остваривање и заштиту права грађана, као и за испуњење услова за стицање статуса кандидата за чланство у Европској унији.</w:t>
      </w:r>
      <w:r w:rsidR="00190A78" w:rsidRPr="001F3AB8">
        <w:rPr>
          <w:lang w:val="sr-Cyrl-CS"/>
        </w:rPr>
        <w:t xml:space="preserve"> </w:t>
      </w:r>
    </w:p>
    <w:p w:rsidR="00CE6D39" w:rsidRPr="00190A78" w:rsidRDefault="00190A78" w:rsidP="00190A78">
      <w:pPr>
        <w:ind w:firstLine="720"/>
        <w:jc w:val="both"/>
        <w:rPr>
          <w:lang w:val="sr-Cyrl-CS"/>
        </w:rPr>
      </w:pPr>
      <w:r w:rsidRPr="00190A78">
        <w:rPr>
          <w:lang w:val="sr-Cyrl-CS"/>
        </w:rPr>
        <w:t>У том смислу, Народна скупштина ће подржати све активности Државног већа тужилаца на отклањању уочених недостатака досадашње реформе правосуђа и, у вршењу законодавне функције, настојати да се изгради потребан законски оквир.</w:t>
      </w:r>
    </w:p>
    <w:p w:rsidR="002A0FCF" w:rsidRDefault="002A0FCF" w:rsidP="001F3AB8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63769C">
        <w:rPr>
          <w:lang w:val="sr-Cyrl-CS"/>
        </w:rPr>
        <w:t xml:space="preserve">. Народна скупштина очекује да Државно веће тужилаца, вршећи функцију гаранта самосталности носилаца јавнотужилачке функције, доследно и одговорно примењује критеријуме и мерила за оцену стручности, оспособљености и достојности, </w:t>
      </w:r>
      <w:r w:rsidR="002A277B">
        <w:rPr>
          <w:lang w:val="sr-Cyrl-CS"/>
        </w:rPr>
        <w:t>за вредновање њиховог рада</w:t>
      </w:r>
      <w:r w:rsidR="002A277B">
        <w:t>,</w:t>
      </w:r>
      <w:r w:rsidR="002A277B">
        <w:rPr>
          <w:lang w:val="sr-Cyrl-CS"/>
        </w:rPr>
        <w:t xml:space="preserve"> </w:t>
      </w:r>
      <w:r w:rsidR="009B3257">
        <w:rPr>
          <w:lang w:val="sr-Cyrl-CS"/>
        </w:rPr>
        <w:t xml:space="preserve">као </w:t>
      </w:r>
      <w:r w:rsidR="00F041D3">
        <w:rPr>
          <w:lang w:val="sr-Cyrl-CS"/>
        </w:rPr>
        <w:t xml:space="preserve">и </w:t>
      </w:r>
      <w:r w:rsidR="00C32DD6">
        <w:rPr>
          <w:lang w:val="sr-Cyrl-CS"/>
        </w:rPr>
        <w:t>за утврђивање одговорности носилаца ове функције за нест</w:t>
      </w:r>
      <w:r w:rsidR="002A277B">
        <w:rPr>
          <w:lang w:val="sr-Cyrl-CS"/>
        </w:rPr>
        <w:t>ручан и несавестан рад</w:t>
      </w:r>
      <w:r w:rsidR="0063769C">
        <w:rPr>
          <w:lang w:val="sr-Cyrl-CS"/>
        </w:rPr>
        <w:t>.</w:t>
      </w:r>
    </w:p>
    <w:p w:rsidR="0063769C" w:rsidRDefault="001B3B69" w:rsidP="00C32DD6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="002A0FCF">
        <w:rPr>
          <w:lang w:val="sr-Cyrl-CS"/>
        </w:rPr>
        <w:t>.</w:t>
      </w:r>
      <w:r w:rsidR="0063769C">
        <w:rPr>
          <w:lang w:val="sr-Cyrl-CS"/>
        </w:rPr>
        <w:t xml:space="preserve"> Ов</w:t>
      </w:r>
      <w:proofErr w:type="spellStart"/>
      <w:r w:rsidR="0063769C">
        <w:t>aj</w:t>
      </w:r>
      <w:proofErr w:type="spellEnd"/>
      <w:r w:rsidR="0063769C">
        <w:rPr>
          <w:lang w:val="sr-Cyrl-CS"/>
        </w:rPr>
        <w:t xml:space="preserve"> закључак објавиће се у „Службеном гласнику РС“.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РС Број: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>У Београду, ___  године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3769C" w:rsidRDefault="0063769C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ПРЕДСЕДНИК</w:t>
      </w:r>
    </w:p>
    <w:p w:rsidR="0063769C" w:rsidRDefault="0063769C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мр Небојша Стефановић</w:t>
      </w:r>
    </w:p>
    <w:p w:rsidR="00C0027A" w:rsidRDefault="00C0027A" w:rsidP="0063769C">
      <w:pPr>
        <w:rPr>
          <w:lang w:val="sr-Cyrl-CS"/>
        </w:rPr>
      </w:pPr>
    </w:p>
    <w:p w:rsidR="00C0027A" w:rsidRDefault="00C0027A" w:rsidP="0063769C">
      <w:pPr>
        <w:rPr>
          <w:lang w:val="sr-Cyrl-CS"/>
        </w:rPr>
      </w:pPr>
    </w:p>
    <w:p w:rsidR="001B3B69" w:rsidRDefault="001B3B69" w:rsidP="0063769C">
      <w:pPr>
        <w:rPr>
          <w:lang w:val="sr-Cyrl-CS"/>
        </w:rPr>
      </w:pPr>
    </w:p>
    <w:p w:rsidR="001B3B69" w:rsidRDefault="001B3B69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  <w:r>
        <w:rPr>
          <w:lang w:val="sr-Cyrl-CS"/>
        </w:rPr>
        <w:t>О Б Р А З Л О</w:t>
      </w:r>
      <w:r>
        <w:rPr>
          <w:lang w:val="sr-Latn-CS"/>
        </w:rPr>
        <w:t xml:space="preserve"> </w:t>
      </w:r>
      <w:r>
        <w:rPr>
          <w:lang w:val="sr-Cyrl-CS"/>
        </w:rPr>
        <w:t>Ж Е Њ Е</w:t>
      </w: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Правни основ за доношење закључка садржан је у члану 8. Закона о Народној скупштини („Службени гласник“, број 9/10) и члану 239. став 3. Пословника Народне скупштине (Пречишћени текст - 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20/12).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Чланом 239. став 1. Пословника Народне скупштине  предвиђено је да Народна скупштина разматра извештаје које су државни органи, организације и тела поднели Народној скупштини, народним посланицима и надлежном одбору, као и предлог закључка, односно препоруке надлежног одбора на првој наредној седници.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32DD6">
        <w:rPr>
          <w:lang w:val="sr-Cyrl-CS"/>
        </w:rPr>
        <w:t>Чланом 1</w:t>
      </w:r>
      <w:r>
        <w:rPr>
          <w:lang w:val="sr-Cyrl-CS"/>
        </w:rPr>
        <w:t>9. ст</w:t>
      </w:r>
      <w:r w:rsidR="00C32DD6">
        <w:rPr>
          <w:lang w:val="sr-Cyrl-CS"/>
        </w:rPr>
        <w:t xml:space="preserve">ав 1. </w:t>
      </w:r>
      <w:r w:rsidR="005A0964">
        <w:rPr>
          <w:lang w:val="sr-Cyrl-CS"/>
        </w:rPr>
        <w:t>Закона о Државном већу тужилац</w:t>
      </w:r>
      <w:r w:rsidR="00C32DD6">
        <w:rPr>
          <w:lang w:val="sr-Cyrl-CS"/>
        </w:rPr>
        <w:t>а</w:t>
      </w:r>
      <w:r>
        <w:rPr>
          <w:lang w:val="sr-Cyrl-CS"/>
        </w:rPr>
        <w:t xml:space="preserve"> („Службени </w:t>
      </w:r>
      <w:r w:rsidR="00C32DD6">
        <w:rPr>
          <w:lang w:val="sr-Cyrl-CS"/>
        </w:rPr>
        <w:t>гласник РС“, бр. 116/08, 101/10 и 88/11</w:t>
      </w:r>
      <w:r w:rsidR="00C32C9F">
        <w:rPr>
          <w:lang w:val="sr-Cyrl-CS"/>
        </w:rPr>
        <w:t>)</w:t>
      </w:r>
      <w:r w:rsidR="00C32DD6">
        <w:rPr>
          <w:lang w:val="sr-Cyrl-CS"/>
        </w:rPr>
        <w:t xml:space="preserve"> утврђено је да</w:t>
      </w:r>
      <w:r w:rsidR="00C32DD6">
        <w:t xml:space="preserve"> </w:t>
      </w:r>
      <w:proofErr w:type="spellStart"/>
      <w:r w:rsidR="00C32DD6">
        <w:t>Државно</w:t>
      </w:r>
      <w:proofErr w:type="spellEnd"/>
      <w:r w:rsidR="00C32DD6">
        <w:t xml:space="preserve"> </w:t>
      </w:r>
      <w:proofErr w:type="spellStart"/>
      <w:r w:rsidR="00C32DD6">
        <w:t>веће</w:t>
      </w:r>
      <w:proofErr w:type="spellEnd"/>
      <w:r w:rsidR="00C32DD6">
        <w:t xml:space="preserve"> </w:t>
      </w:r>
      <w:r w:rsidR="00C32DD6">
        <w:rPr>
          <w:lang w:val="sr-Cyrl-CS"/>
        </w:rPr>
        <w:t xml:space="preserve">тужилаца </w:t>
      </w:r>
      <w:proofErr w:type="spellStart"/>
      <w:r w:rsidR="00C32DD6">
        <w:t>подноси</w:t>
      </w:r>
      <w:proofErr w:type="spellEnd"/>
      <w:r w:rsidR="00C32DD6">
        <w:t xml:space="preserve"> </w:t>
      </w:r>
      <w:proofErr w:type="spellStart"/>
      <w:r w:rsidR="00C32DD6">
        <w:t>годишњи</w:t>
      </w:r>
      <w:proofErr w:type="spellEnd"/>
      <w:r w:rsidR="00C32DD6">
        <w:t xml:space="preserve"> </w:t>
      </w:r>
      <w:proofErr w:type="spellStart"/>
      <w:r w:rsidR="00C32DD6">
        <w:t>извештај</w:t>
      </w:r>
      <w:proofErr w:type="spellEnd"/>
      <w:r w:rsidR="00C32DD6">
        <w:t xml:space="preserve"> о </w:t>
      </w:r>
      <w:proofErr w:type="spellStart"/>
      <w:r w:rsidR="00C32DD6">
        <w:t>свом</w:t>
      </w:r>
      <w:proofErr w:type="spellEnd"/>
      <w:r w:rsidR="00C32DD6">
        <w:t xml:space="preserve"> </w:t>
      </w:r>
      <w:proofErr w:type="spellStart"/>
      <w:r w:rsidR="00C32DD6">
        <w:t>раду</w:t>
      </w:r>
      <w:proofErr w:type="spellEnd"/>
      <w:r w:rsidR="00C32DD6">
        <w:t xml:space="preserve"> </w:t>
      </w:r>
      <w:proofErr w:type="spellStart"/>
      <w:r w:rsidR="00C32DD6">
        <w:t>Народној</w:t>
      </w:r>
      <w:proofErr w:type="spellEnd"/>
      <w:r w:rsidR="00C32DD6">
        <w:t xml:space="preserve"> </w:t>
      </w:r>
      <w:proofErr w:type="spellStart"/>
      <w:r w:rsidR="00C32DD6">
        <w:t>скупштини</w:t>
      </w:r>
      <w:proofErr w:type="spellEnd"/>
      <w:r w:rsidR="00C32DD6">
        <w:t>.</w:t>
      </w:r>
    </w:p>
    <w:p w:rsidR="00A629F5" w:rsidRPr="00A629F5" w:rsidRDefault="00A629F5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Сагласно наведеној одредби Закона, </w:t>
      </w:r>
      <w:r w:rsidR="00C32DD6">
        <w:rPr>
          <w:lang w:val="sr-Cyrl-CS"/>
        </w:rPr>
        <w:t xml:space="preserve">Државно веће тужилаца </w:t>
      </w:r>
      <w:r>
        <w:rPr>
          <w:lang w:val="sr-Cyrl-CS"/>
        </w:rPr>
        <w:t>подне</w:t>
      </w:r>
      <w:r w:rsidR="00C32DD6">
        <w:rPr>
          <w:lang w:val="sr-Cyrl-CS"/>
        </w:rPr>
        <w:t>л</w:t>
      </w:r>
      <w:r>
        <w:rPr>
          <w:lang w:val="sr-Cyrl-CS"/>
        </w:rPr>
        <w:t xml:space="preserve">о је  Извештај о раду </w:t>
      </w:r>
      <w:r w:rsidR="00C32DD6">
        <w:rPr>
          <w:lang w:val="sr-Cyrl-CS"/>
        </w:rPr>
        <w:t>за 2012. годину</w:t>
      </w:r>
      <w:r>
        <w:rPr>
          <w:lang w:val="sr-Cyrl-CS"/>
        </w:rPr>
        <w:t>.</w:t>
      </w:r>
    </w:p>
    <w:p w:rsidR="00A629F5" w:rsidRDefault="00A629F5" w:rsidP="0063769C">
      <w:pPr>
        <w:jc w:val="both"/>
        <w:rPr>
          <w:lang w:val="sr-Cyrl-CS"/>
        </w:rPr>
      </w:pPr>
    </w:p>
    <w:p w:rsidR="0063769C" w:rsidRPr="00423746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правусуђе, државну управу и локалну самоуправу је, као</w:t>
      </w:r>
      <w:r w:rsidR="00C32C9F">
        <w:rPr>
          <w:lang w:val="sr-Cyrl-CS"/>
        </w:rPr>
        <w:t xml:space="preserve"> надлежан одбор, </w:t>
      </w:r>
      <w:r w:rsidR="00A629F5">
        <w:rPr>
          <w:lang w:val="sr-Cyrl-CS"/>
        </w:rPr>
        <w:t xml:space="preserve">размотрио Извештај о раду Државног већа тужилаца за 2012. годину </w:t>
      </w:r>
      <w:r w:rsidR="00C32DD6">
        <w:rPr>
          <w:lang w:val="sr-Cyrl-CS"/>
        </w:rPr>
        <w:t xml:space="preserve">на 22. </w:t>
      </w:r>
      <w:r w:rsidR="00A629F5">
        <w:rPr>
          <w:lang w:val="sr-Cyrl-CS"/>
        </w:rPr>
        <w:t>с</w:t>
      </w:r>
      <w:r w:rsidR="00C32DD6">
        <w:rPr>
          <w:lang w:val="sr-Cyrl-CS"/>
        </w:rPr>
        <w:t>едници одржаној 21.марта</w:t>
      </w:r>
      <w:r>
        <w:rPr>
          <w:lang w:val="sr-Cyrl-CS"/>
        </w:rPr>
        <w:t xml:space="preserve"> </w:t>
      </w:r>
      <w:r w:rsidR="00C32DD6">
        <w:rPr>
          <w:lang w:val="sr-Cyrl-CS"/>
        </w:rPr>
        <w:t>2013</w:t>
      </w:r>
      <w:r>
        <w:rPr>
          <w:lang w:val="sr-Cyrl-CS"/>
        </w:rPr>
        <w:t>. године и, у складу са чланом 237. став 4. Пословника Народне скупштине (Пречишћени текст), поднео Народној скупштини и</w:t>
      </w:r>
      <w:r w:rsidR="00A629F5">
        <w:rPr>
          <w:lang w:val="sr-Cyrl-CS"/>
        </w:rPr>
        <w:t>звештај, са</w:t>
      </w:r>
      <w:r w:rsidR="00C32DD6">
        <w:rPr>
          <w:lang w:val="sr-Cyrl-CS"/>
        </w:rPr>
        <w:t xml:space="preserve"> Предлог</w:t>
      </w:r>
      <w:r w:rsidR="00A629F5">
        <w:rPr>
          <w:lang w:val="sr-Cyrl-CS"/>
        </w:rPr>
        <w:t>ом закључка који је, поводом разматра</w:t>
      </w:r>
      <w:r w:rsidR="0015606F">
        <w:rPr>
          <w:lang w:val="sr-Cyrl-CS"/>
        </w:rPr>
        <w:t xml:space="preserve">ња Извештаја, утврдио на </w:t>
      </w:r>
      <w:r w:rsidR="0015606F">
        <w:t>24.</w:t>
      </w:r>
      <w:r w:rsidR="00A629F5">
        <w:rPr>
          <w:lang w:val="sr-Cyrl-CS"/>
        </w:rPr>
        <w:t xml:space="preserve"> </w:t>
      </w:r>
      <w:r w:rsidR="0015606F">
        <w:rPr>
          <w:lang w:val="sr-Cyrl-CS"/>
        </w:rPr>
        <w:t>с</w:t>
      </w:r>
      <w:r w:rsidR="00A629F5">
        <w:rPr>
          <w:lang w:val="sr-Cyrl-CS"/>
        </w:rPr>
        <w:t>едници</w:t>
      </w:r>
      <w:r w:rsidR="0015606F">
        <w:t xml:space="preserve">, </w:t>
      </w:r>
      <w:r w:rsidR="0015606F">
        <w:rPr>
          <w:lang w:val="sr-Cyrl-CS"/>
        </w:rPr>
        <w:t>одржаној 29. марта 2012. године</w:t>
      </w:r>
      <w:r w:rsidR="00A629F5"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8. став 3. Закона о Народној скупштини, закључци Народне скупштине објављују се у „Службеном гласнику РС“.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rPr>
          <w:lang w:val="sr-Cyrl-CS"/>
        </w:rPr>
      </w:pPr>
    </w:p>
    <w:p w:rsidR="00E22132" w:rsidRDefault="00E22132">
      <w:bookmarkStart w:id="0" w:name="_GoBack"/>
      <w:bookmarkEnd w:id="0"/>
    </w:p>
    <w:sectPr w:rsidR="00E2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DA"/>
    <w:multiLevelType w:val="hybridMultilevel"/>
    <w:tmpl w:val="03320AB0"/>
    <w:lvl w:ilvl="0" w:tplc="D3642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81A53"/>
    <w:multiLevelType w:val="hybridMultilevel"/>
    <w:tmpl w:val="40205822"/>
    <w:lvl w:ilvl="0" w:tplc="F56CF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54B72"/>
    <w:multiLevelType w:val="hybridMultilevel"/>
    <w:tmpl w:val="F1D4F776"/>
    <w:lvl w:ilvl="0" w:tplc="4FDABCC8">
      <w:start w:val="1"/>
      <w:numFmt w:val="decimal"/>
      <w:lvlText w:val="%1."/>
      <w:lvlJc w:val="left"/>
      <w:pPr>
        <w:ind w:left="19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266306"/>
    <w:multiLevelType w:val="hybridMultilevel"/>
    <w:tmpl w:val="5D6C641C"/>
    <w:lvl w:ilvl="0" w:tplc="418AC14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C38D6"/>
    <w:multiLevelType w:val="hybridMultilevel"/>
    <w:tmpl w:val="787CC262"/>
    <w:lvl w:ilvl="0" w:tplc="9D8A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1119"/>
    <w:multiLevelType w:val="hybridMultilevel"/>
    <w:tmpl w:val="293A178C"/>
    <w:lvl w:ilvl="0" w:tplc="62082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65EBA"/>
    <w:multiLevelType w:val="hybridMultilevel"/>
    <w:tmpl w:val="BE7A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AFA"/>
    <w:multiLevelType w:val="hybridMultilevel"/>
    <w:tmpl w:val="7722F218"/>
    <w:lvl w:ilvl="0" w:tplc="E60A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9C"/>
    <w:rsid w:val="000545F9"/>
    <w:rsid w:val="0015606F"/>
    <w:rsid w:val="00190A78"/>
    <w:rsid w:val="001B3B69"/>
    <w:rsid w:val="001F3AB8"/>
    <w:rsid w:val="002571C8"/>
    <w:rsid w:val="002A0FCF"/>
    <w:rsid w:val="002A277B"/>
    <w:rsid w:val="00531AA6"/>
    <w:rsid w:val="005A0964"/>
    <w:rsid w:val="0063769C"/>
    <w:rsid w:val="00766662"/>
    <w:rsid w:val="007A425F"/>
    <w:rsid w:val="008B1166"/>
    <w:rsid w:val="0090122A"/>
    <w:rsid w:val="009B3257"/>
    <w:rsid w:val="00A629F5"/>
    <w:rsid w:val="00C0027A"/>
    <w:rsid w:val="00C32C9F"/>
    <w:rsid w:val="00C32DD6"/>
    <w:rsid w:val="00CE6D39"/>
    <w:rsid w:val="00E22132"/>
    <w:rsid w:val="00F041D3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16</cp:revision>
  <cp:lastPrinted>2013-03-28T14:48:00Z</cp:lastPrinted>
  <dcterms:created xsi:type="dcterms:W3CDTF">2013-03-20T16:55:00Z</dcterms:created>
  <dcterms:modified xsi:type="dcterms:W3CDTF">2013-03-28T14:51:00Z</dcterms:modified>
</cp:coreProperties>
</file>